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67" w:rsidRPr="00092367" w:rsidRDefault="00092367" w:rsidP="00092367">
      <w:pPr>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2018年校级教学成果奖拟获奖名单</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785"/>
        <w:gridCol w:w="1842"/>
        <w:gridCol w:w="2025"/>
        <w:gridCol w:w="1170"/>
      </w:tblGrid>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序号</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教学成果名称</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成果第1完成人</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主要完成单位</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奖项</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1</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proofErr w:type="gramStart"/>
            <w:r w:rsidRPr="00092367">
              <w:rPr>
                <w:rFonts w:asciiTheme="majorEastAsia" w:eastAsiaTheme="majorEastAsia" w:hAnsiTheme="majorEastAsia" w:cs="仿宋" w:hint="eastAsia"/>
                <w:sz w:val="24"/>
              </w:rPr>
              <w:t>职场实态</w:t>
            </w:r>
            <w:proofErr w:type="gramEnd"/>
            <w:r w:rsidRPr="00092367">
              <w:rPr>
                <w:rFonts w:asciiTheme="majorEastAsia" w:eastAsiaTheme="majorEastAsia" w:hAnsiTheme="majorEastAsia" w:cs="仿宋" w:hint="eastAsia"/>
                <w:sz w:val="24"/>
              </w:rPr>
              <w:t>下文化创意类专业人才培养模式研究</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孙爱东</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文化创意产业学院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一等奖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2</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土木工程专业产学合作人才培养模式的研究与实践</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邹建奇</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土木工程学院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一等奖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3</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工程造价专业应用型、复合型人才培养的研究与实践</w:t>
            </w:r>
          </w:p>
        </w:tc>
        <w:tc>
          <w:tcPr>
            <w:tcW w:w="1842"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孙宝庆</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管理学院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一等奖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4</w:t>
            </w:r>
          </w:p>
        </w:tc>
        <w:tc>
          <w:tcPr>
            <w:tcW w:w="2785" w:type="dxa"/>
            <w:vAlign w:val="center"/>
          </w:tcPr>
          <w:p w:rsidR="00092367" w:rsidRPr="00092367" w:rsidRDefault="00092367" w:rsidP="006325C1">
            <w:pPr>
              <w:spacing w:line="240" w:lineRule="atLeast"/>
              <w:ind w:left="99"/>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基于电气专业课程教学改革的研究与实践</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proofErr w:type="gramStart"/>
            <w:r w:rsidRPr="00092367">
              <w:rPr>
                <w:rFonts w:asciiTheme="majorEastAsia" w:eastAsiaTheme="majorEastAsia" w:hAnsiTheme="majorEastAsia" w:cs="仿宋" w:hint="eastAsia"/>
                <w:sz w:val="24"/>
              </w:rPr>
              <w:t>齐海英</w:t>
            </w:r>
            <w:proofErr w:type="gramEnd"/>
          </w:p>
        </w:tc>
        <w:tc>
          <w:tcPr>
            <w:tcW w:w="2025" w:type="dxa"/>
            <w:vAlign w:val="center"/>
          </w:tcPr>
          <w:p w:rsidR="00092367" w:rsidRPr="00092367" w:rsidRDefault="00092367" w:rsidP="006325C1">
            <w:pPr>
              <w:spacing w:line="240" w:lineRule="atLeast"/>
              <w:ind w:left="99"/>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电气信息学院</w:t>
            </w:r>
          </w:p>
        </w:tc>
        <w:tc>
          <w:tcPr>
            <w:tcW w:w="1170" w:type="dxa"/>
            <w:vAlign w:val="center"/>
          </w:tcPr>
          <w:p w:rsidR="00092367" w:rsidRPr="00092367" w:rsidRDefault="00092367" w:rsidP="006325C1">
            <w:pPr>
              <w:spacing w:line="240" w:lineRule="atLeast"/>
              <w:ind w:left="99"/>
              <w:rPr>
                <w:rFonts w:asciiTheme="majorEastAsia" w:eastAsiaTheme="majorEastAsia" w:hAnsiTheme="majorEastAsia" w:cs="仿宋"/>
                <w:sz w:val="24"/>
              </w:rPr>
            </w:pPr>
            <w:r w:rsidRPr="00092367">
              <w:rPr>
                <w:rFonts w:asciiTheme="majorEastAsia" w:eastAsiaTheme="majorEastAsia" w:hAnsiTheme="majorEastAsia" w:cs="仿宋" w:hint="eastAsia"/>
                <w:sz w:val="24"/>
              </w:rPr>
              <w:t>一等奖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5</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hint="eastAsia"/>
                <w:color w:val="000000"/>
                <w:sz w:val="24"/>
              </w:rPr>
              <w:t>民办高校道路桥梁与渡河工程专业课程体系建设的研究与实践</w:t>
            </w:r>
          </w:p>
        </w:tc>
        <w:tc>
          <w:tcPr>
            <w:tcW w:w="1842"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hint="eastAsia"/>
                <w:sz w:val="24"/>
              </w:rPr>
              <w:t>李化东</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交通学院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一等奖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6</w:t>
            </w:r>
          </w:p>
        </w:tc>
        <w:tc>
          <w:tcPr>
            <w:tcW w:w="2785" w:type="dxa"/>
            <w:vAlign w:val="center"/>
          </w:tcPr>
          <w:p w:rsidR="00092367" w:rsidRPr="00092367" w:rsidRDefault="00092367" w:rsidP="006325C1">
            <w:pPr>
              <w:spacing w:line="240" w:lineRule="atLeast"/>
              <w:ind w:left="99"/>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风景园林专业模块化教学模式研究</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石圆圆</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公共艺术学院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二等奖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7</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基于公司运营体制下的环境设计专业人才培养模式研究</w:t>
            </w:r>
          </w:p>
        </w:tc>
        <w:tc>
          <w:tcPr>
            <w:tcW w:w="1842"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吴晓磊</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文化创意产业学院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二等奖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8</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olor w:val="000000"/>
                <w:sz w:val="24"/>
              </w:rPr>
            </w:pPr>
            <w:r w:rsidRPr="00092367">
              <w:rPr>
                <w:rFonts w:asciiTheme="majorEastAsia" w:eastAsiaTheme="majorEastAsia" w:hAnsiTheme="majorEastAsia" w:cs="仿宋" w:hint="eastAsia"/>
                <w:sz w:val="24"/>
              </w:rPr>
              <w:t>依托校内实践教学基地群土木工程专业主干课程教学改革研究与实践</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sz w:val="24"/>
              </w:rPr>
            </w:pPr>
            <w:r w:rsidRPr="00092367">
              <w:rPr>
                <w:rFonts w:asciiTheme="majorEastAsia" w:eastAsiaTheme="majorEastAsia" w:hAnsiTheme="majorEastAsia" w:cs="仿宋" w:hint="eastAsia"/>
                <w:sz w:val="24"/>
              </w:rPr>
              <w:t>路立娜</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土木工程学院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二等奖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9</w:t>
            </w:r>
          </w:p>
        </w:tc>
        <w:tc>
          <w:tcPr>
            <w:tcW w:w="2785" w:type="dxa"/>
            <w:vAlign w:val="center"/>
          </w:tcPr>
          <w:p w:rsidR="00092367" w:rsidRPr="00092367" w:rsidRDefault="00092367" w:rsidP="006325C1">
            <w:pPr>
              <w:spacing w:line="240" w:lineRule="atLeast"/>
              <w:ind w:left="99"/>
              <w:jc w:val="center"/>
              <w:rPr>
                <w:rFonts w:asciiTheme="majorEastAsia" w:eastAsiaTheme="majorEastAsia" w:hAnsiTheme="majorEastAsia"/>
                <w:color w:val="000000"/>
                <w:sz w:val="24"/>
              </w:rPr>
            </w:pPr>
            <w:r w:rsidRPr="00092367">
              <w:rPr>
                <w:rFonts w:asciiTheme="majorEastAsia" w:eastAsiaTheme="majorEastAsia" w:hAnsiTheme="majorEastAsia" w:cs="仿宋" w:hint="eastAsia"/>
                <w:sz w:val="24"/>
              </w:rPr>
              <w:t>民办高校艺术设计专业“工作室”实践教学模式初探</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sz w:val="24"/>
              </w:rPr>
            </w:pPr>
            <w:r w:rsidRPr="00092367">
              <w:rPr>
                <w:rFonts w:asciiTheme="majorEastAsia" w:eastAsiaTheme="majorEastAsia" w:hAnsiTheme="majorEastAsia" w:cs="仿宋" w:hint="eastAsia"/>
                <w:sz w:val="24"/>
              </w:rPr>
              <w:t>宗彦</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公共艺术学院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二等奖</w:t>
            </w:r>
          </w:p>
        </w:tc>
      </w:tr>
      <w:tr w:rsidR="00092367" w:rsidRPr="00092367" w:rsidTr="006325C1">
        <w:trPr>
          <w:trHeight w:val="758"/>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10</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文化创意产业创新人才培养模式研究</w:t>
            </w:r>
          </w:p>
        </w:tc>
        <w:tc>
          <w:tcPr>
            <w:tcW w:w="1842"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proofErr w:type="gramStart"/>
            <w:r w:rsidRPr="00092367">
              <w:rPr>
                <w:rFonts w:asciiTheme="majorEastAsia" w:eastAsiaTheme="majorEastAsia" w:hAnsiTheme="majorEastAsia" w:cs="仿宋" w:hint="eastAsia"/>
                <w:sz w:val="24"/>
              </w:rPr>
              <w:t>于哲</w:t>
            </w:r>
            <w:proofErr w:type="gramEnd"/>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公共艺术学院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三等奖</w:t>
            </w:r>
          </w:p>
        </w:tc>
      </w:tr>
      <w:tr w:rsidR="00092367" w:rsidRPr="00092367" w:rsidTr="006325C1">
        <w:trPr>
          <w:trHeight w:val="614"/>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11</w:t>
            </w:r>
          </w:p>
        </w:tc>
        <w:tc>
          <w:tcPr>
            <w:tcW w:w="2785"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吉林省文化创意产业发展与高校创新人才培养模式研究</w:t>
            </w:r>
          </w:p>
        </w:tc>
        <w:tc>
          <w:tcPr>
            <w:tcW w:w="1842"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张纪尧</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公共艺术学院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三等奖</w:t>
            </w:r>
          </w:p>
        </w:tc>
      </w:tr>
      <w:tr w:rsidR="00092367" w:rsidRPr="00092367" w:rsidTr="006325C1">
        <w:trPr>
          <w:trHeight w:val="614"/>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12</w:t>
            </w:r>
          </w:p>
        </w:tc>
        <w:tc>
          <w:tcPr>
            <w:tcW w:w="2785" w:type="dxa"/>
            <w:vAlign w:val="center"/>
          </w:tcPr>
          <w:p w:rsidR="00092367" w:rsidRPr="00092367" w:rsidRDefault="00092367" w:rsidP="006325C1">
            <w:pPr>
              <w:spacing w:line="240" w:lineRule="atLeast"/>
              <w:ind w:left="99"/>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以就业环节为导向的艺术类高教人才培养改革研究</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万丹</w:t>
            </w:r>
          </w:p>
        </w:tc>
        <w:tc>
          <w:tcPr>
            <w:tcW w:w="2025"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公共艺术学院</w:t>
            </w:r>
          </w:p>
        </w:tc>
        <w:tc>
          <w:tcPr>
            <w:tcW w:w="1170"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三等奖</w:t>
            </w:r>
          </w:p>
        </w:tc>
      </w:tr>
      <w:tr w:rsidR="00092367" w:rsidRPr="00092367" w:rsidTr="006325C1">
        <w:trPr>
          <w:trHeight w:val="614"/>
        </w:trPr>
        <w:tc>
          <w:tcPr>
            <w:tcW w:w="617" w:type="dxa"/>
            <w:vAlign w:val="center"/>
          </w:tcPr>
          <w:p w:rsidR="00092367" w:rsidRPr="00092367" w:rsidRDefault="00092367" w:rsidP="006325C1">
            <w:pPr>
              <w:spacing w:line="240" w:lineRule="atLeast"/>
              <w:ind w:left="-93"/>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13</w:t>
            </w:r>
          </w:p>
        </w:tc>
        <w:tc>
          <w:tcPr>
            <w:tcW w:w="2785" w:type="dxa"/>
            <w:vAlign w:val="center"/>
          </w:tcPr>
          <w:p w:rsidR="00092367" w:rsidRPr="00092367" w:rsidRDefault="00092367" w:rsidP="006325C1">
            <w:pPr>
              <w:spacing w:line="240" w:lineRule="atLeast"/>
              <w:ind w:left="99"/>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民办高校人才培养模式特色发展研究</w:t>
            </w:r>
          </w:p>
        </w:tc>
        <w:tc>
          <w:tcPr>
            <w:tcW w:w="1842" w:type="dxa"/>
            <w:vAlign w:val="center"/>
          </w:tcPr>
          <w:p w:rsidR="00092367" w:rsidRPr="00092367" w:rsidRDefault="00092367" w:rsidP="006325C1">
            <w:pPr>
              <w:spacing w:line="240" w:lineRule="atLeast"/>
              <w:jc w:val="center"/>
              <w:rPr>
                <w:rFonts w:asciiTheme="majorEastAsia" w:eastAsiaTheme="majorEastAsia" w:hAnsiTheme="majorEastAsia" w:cs="仿宋"/>
                <w:sz w:val="24"/>
              </w:rPr>
            </w:pPr>
            <w:proofErr w:type="gramStart"/>
            <w:r w:rsidRPr="00092367">
              <w:rPr>
                <w:rFonts w:asciiTheme="majorEastAsia" w:eastAsiaTheme="majorEastAsia" w:hAnsiTheme="majorEastAsia" w:cs="仿宋" w:hint="eastAsia"/>
                <w:sz w:val="24"/>
              </w:rPr>
              <w:t>孙杨</w:t>
            </w:r>
            <w:proofErr w:type="gramEnd"/>
          </w:p>
        </w:tc>
        <w:tc>
          <w:tcPr>
            <w:tcW w:w="2025" w:type="dxa"/>
            <w:vAlign w:val="center"/>
          </w:tcPr>
          <w:p w:rsidR="00092367" w:rsidRPr="00092367" w:rsidRDefault="00092367" w:rsidP="006325C1">
            <w:pPr>
              <w:spacing w:line="240" w:lineRule="atLeast"/>
              <w:ind w:firstLineChars="100" w:firstLine="240"/>
              <w:rPr>
                <w:rFonts w:asciiTheme="majorEastAsia" w:eastAsiaTheme="majorEastAsia" w:hAnsiTheme="majorEastAsia" w:cs="仿宋"/>
                <w:sz w:val="24"/>
              </w:rPr>
            </w:pPr>
            <w:r w:rsidRPr="00092367">
              <w:rPr>
                <w:rFonts w:asciiTheme="majorEastAsia" w:eastAsiaTheme="majorEastAsia" w:hAnsiTheme="majorEastAsia" w:cs="仿宋" w:hint="eastAsia"/>
                <w:sz w:val="24"/>
              </w:rPr>
              <w:t>公共艺术学院</w:t>
            </w:r>
          </w:p>
        </w:tc>
        <w:tc>
          <w:tcPr>
            <w:tcW w:w="1170" w:type="dxa"/>
            <w:vAlign w:val="center"/>
          </w:tcPr>
          <w:p w:rsidR="00092367" w:rsidRPr="00092367" w:rsidRDefault="00092367" w:rsidP="006325C1">
            <w:pPr>
              <w:spacing w:line="240" w:lineRule="atLeast"/>
              <w:ind w:left="99"/>
              <w:jc w:val="center"/>
              <w:rPr>
                <w:rFonts w:asciiTheme="majorEastAsia" w:eastAsiaTheme="majorEastAsia" w:hAnsiTheme="majorEastAsia" w:cs="仿宋"/>
                <w:sz w:val="24"/>
              </w:rPr>
            </w:pPr>
            <w:r w:rsidRPr="00092367">
              <w:rPr>
                <w:rFonts w:asciiTheme="majorEastAsia" w:eastAsiaTheme="majorEastAsia" w:hAnsiTheme="majorEastAsia" w:cs="仿宋" w:hint="eastAsia"/>
                <w:sz w:val="24"/>
              </w:rPr>
              <w:t>三等奖</w:t>
            </w:r>
          </w:p>
        </w:tc>
      </w:tr>
    </w:tbl>
    <w:p w:rsidR="00092367" w:rsidRPr="00092367" w:rsidRDefault="00092367" w:rsidP="00092367">
      <w:pPr>
        <w:jc w:val="left"/>
        <w:rPr>
          <w:rFonts w:asciiTheme="majorEastAsia" w:eastAsiaTheme="majorEastAsia" w:hAnsiTheme="majorEastAsia" w:cs="仿宋_GB2312"/>
          <w:sz w:val="24"/>
        </w:rPr>
      </w:pPr>
    </w:p>
    <w:p w:rsidR="00B53812" w:rsidRPr="00092367" w:rsidRDefault="00B53812">
      <w:pPr>
        <w:rPr>
          <w:rFonts w:asciiTheme="majorEastAsia" w:eastAsiaTheme="majorEastAsia" w:hAnsiTheme="majorEastAsia"/>
          <w:sz w:val="24"/>
        </w:rPr>
      </w:pPr>
    </w:p>
    <w:sectPr w:rsidR="00B53812" w:rsidRPr="00092367" w:rsidSect="001841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79" w:rsidRDefault="00375679" w:rsidP="00092367">
      <w:r>
        <w:separator/>
      </w:r>
    </w:p>
  </w:endnote>
  <w:endnote w:type="continuationSeparator" w:id="0">
    <w:p w:rsidR="00375679" w:rsidRDefault="00375679" w:rsidP="000923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79" w:rsidRDefault="00375679" w:rsidP="00092367">
      <w:r>
        <w:separator/>
      </w:r>
    </w:p>
  </w:footnote>
  <w:footnote w:type="continuationSeparator" w:id="0">
    <w:p w:rsidR="00375679" w:rsidRDefault="00375679" w:rsidP="000923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367"/>
    <w:rsid w:val="00092367"/>
    <w:rsid w:val="00375679"/>
    <w:rsid w:val="00B53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2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2367"/>
    <w:rPr>
      <w:sz w:val="18"/>
      <w:szCs w:val="18"/>
    </w:rPr>
  </w:style>
  <w:style w:type="paragraph" w:styleId="a4">
    <w:name w:val="footer"/>
    <w:basedOn w:val="a"/>
    <w:link w:val="Char0"/>
    <w:uiPriority w:val="99"/>
    <w:semiHidden/>
    <w:unhideWhenUsed/>
    <w:rsid w:val="000923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23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2019-04-18T07:46:00Z</dcterms:created>
  <dcterms:modified xsi:type="dcterms:W3CDTF">2019-04-18T07:47:00Z</dcterms:modified>
</cp:coreProperties>
</file>