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560" w:lineRule="exact"/>
        <w:ind w:right="0" w:rightChars="0"/>
        <w:jc w:val="center"/>
        <w:textAlignment w:val="auto"/>
        <w:outlineLvl w:val="9"/>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关于开展长春建筑学院</w:t>
      </w:r>
      <w:r>
        <w:rPr>
          <w:rFonts w:hint="eastAsia" w:ascii="宋体" w:hAnsi="宋体" w:eastAsia="宋体" w:cs="宋体"/>
          <w:b/>
          <w:bCs/>
          <w:sz w:val="36"/>
          <w:szCs w:val="36"/>
          <w:lang w:val="en-US" w:eastAsia="zh-CN"/>
        </w:rPr>
        <w:t>2019年上半年</w:t>
      </w:r>
      <w:r>
        <w:rPr>
          <w:rFonts w:hint="eastAsia" w:ascii="宋体" w:hAnsi="宋体" w:eastAsia="宋体" w:cs="宋体"/>
          <w:b/>
          <w:sz w:val="36"/>
          <w:szCs w:val="36"/>
          <w:lang w:eastAsia="zh-CN"/>
        </w:rPr>
        <w:t>校级教研课题结题验收的</w:t>
      </w:r>
      <w:r>
        <w:rPr>
          <w:rFonts w:hint="eastAsia" w:ascii="宋体" w:hAnsi="宋体" w:eastAsia="宋体" w:cs="宋体"/>
          <w:b/>
          <w:bCs/>
          <w:sz w:val="36"/>
          <w:szCs w:val="36"/>
          <w:lang w:eastAsia="zh-CN"/>
        </w:rPr>
        <w:t>通知</w:t>
      </w:r>
    </w:p>
    <w:p>
      <w:pPr>
        <w:keepNext w:val="0"/>
        <w:keepLines w:val="0"/>
        <w:pageBreakBefore w:val="0"/>
        <w:kinsoku/>
        <w:wordWrap/>
        <w:overflowPunct/>
        <w:topLinePunct w:val="0"/>
        <w:autoSpaceDE/>
        <w:autoSpaceDN/>
        <w:bidi w:val="0"/>
        <w:adjustRightInd w:val="0"/>
        <w:snapToGrid w:val="0"/>
        <w:spacing w:line="560" w:lineRule="exact"/>
        <w:ind w:left="0" w:leftChars="0" w:right="0" w:rightChars="0" w:firstLine="482" w:firstLineChars="200"/>
        <w:jc w:val="center"/>
        <w:textAlignment w:val="auto"/>
        <w:outlineLvl w:val="9"/>
        <w:rPr>
          <w:rFonts w:hint="eastAsia" w:ascii="宋体" w:hAnsi="宋体" w:eastAsia="宋体" w:cs="宋体"/>
          <w:b/>
          <w:bCs/>
          <w:sz w:val="24"/>
          <w:szCs w:val="24"/>
          <w:lang w:eastAsia="zh-CN"/>
        </w:rPr>
      </w:pPr>
    </w:p>
    <w:p>
      <w:pPr>
        <w:keepNext w:val="0"/>
        <w:keepLines w:val="0"/>
        <w:pageBreakBefore w:val="0"/>
        <w:kinsoku/>
        <w:wordWrap/>
        <w:overflowPunct/>
        <w:topLinePunct w:val="0"/>
        <w:autoSpaceDE/>
        <w:autoSpaceDN/>
        <w:bidi w:val="0"/>
        <w:adjustRightInd w:val="0"/>
        <w:snapToGrid w:val="0"/>
        <w:spacing w:line="560" w:lineRule="exact"/>
        <w:ind w:right="0" w:rightChars="0"/>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各单位、部门：</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sz w:val="32"/>
          <w:szCs w:val="32"/>
        </w:rPr>
      </w:pPr>
      <w:r>
        <w:rPr>
          <w:rFonts w:hint="eastAsia" w:ascii="仿宋" w:hAnsi="仿宋" w:eastAsia="仿宋" w:cs="仿宋"/>
          <w:sz w:val="32"/>
          <w:szCs w:val="32"/>
          <w:lang w:val="en-US" w:eastAsia="zh-CN"/>
        </w:rPr>
        <w:t>2018年下学期我校已完成了一批长春建筑学院高等教育科学研究“十三五”规划课题（第一批）</w:t>
      </w:r>
      <w:r>
        <w:rPr>
          <w:rFonts w:hint="eastAsia" w:ascii="仿宋" w:hAnsi="仿宋" w:eastAsia="仿宋" w:cs="仿宋"/>
          <w:b w:val="0"/>
          <w:bCs w:val="0"/>
          <w:kern w:val="0"/>
          <w:sz w:val="32"/>
          <w:szCs w:val="32"/>
          <w:lang w:val="en-US" w:eastAsia="zh-CN" w:bidi="ar"/>
        </w:rPr>
        <w:t>的结题验收工作，结题质量高，效果良好，为了继续促进教研研究和推进成果应用，现高等教育研究中心决定开展2019年上半年校级教研课题结题验收工作，现将有关事项安排如下：</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kern w:val="0"/>
          <w:sz w:val="32"/>
          <w:szCs w:val="32"/>
          <w:lang w:val="en-US" w:eastAsia="zh-CN" w:bidi="ar"/>
        </w:rPr>
        <w:t>一、结题范围</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kern w:val="0"/>
          <w:sz w:val="32"/>
          <w:szCs w:val="32"/>
          <w:lang w:val="en-US" w:eastAsia="zh-CN" w:bidi="ar"/>
        </w:rPr>
        <w:t>长春建筑学院高等教育科学研究“十三五”规划课题（第一批）未结题的项目。</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黑体" w:hAnsi="黑体" w:eastAsia="黑体" w:cs="黑体"/>
          <w:b w:val="0"/>
          <w:bCs w:val="0"/>
          <w:kern w:val="0"/>
          <w:sz w:val="32"/>
          <w:szCs w:val="32"/>
          <w:lang w:val="en-US" w:eastAsia="zh-CN" w:bidi="ar"/>
        </w:rPr>
      </w:pPr>
      <w:r>
        <w:rPr>
          <w:rFonts w:hint="eastAsia" w:ascii="黑体" w:hAnsi="黑体" w:eastAsia="黑体" w:cs="黑体"/>
          <w:b w:val="0"/>
          <w:bCs w:val="0"/>
          <w:kern w:val="0"/>
          <w:sz w:val="32"/>
          <w:szCs w:val="32"/>
          <w:lang w:val="en-US" w:eastAsia="zh-CN" w:bidi="ar"/>
        </w:rPr>
        <w:t>二、结题要求</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kern w:val="0"/>
          <w:sz w:val="32"/>
          <w:szCs w:val="32"/>
          <w:highlight w:val="none"/>
          <w:lang w:val="en-US" w:eastAsia="zh-CN" w:bidi="ar"/>
        </w:rPr>
      </w:pPr>
      <w:r>
        <w:rPr>
          <w:rFonts w:hint="eastAsia" w:ascii="仿宋" w:hAnsi="仿宋" w:eastAsia="仿宋" w:cs="仿宋"/>
          <w:b w:val="0"/>
          <w:bCs w:val="0"/>
          <w:kern w:val="0"/>
          <w:sz w:val="32"/>
          <w:szCs w:val="32"/>
          <w:highlight w:val="none"/>
          <w:lang w:val="en-US" w:eastAsia="zh-CN" w:bidi="ar"/>
        </w:rPr>
        <w:t>（一）项目主持人提出结项申请，提交结项材料。项目主持人所在单位部门应认真审查结题材料并在结题验收报告书中签署意见。</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kern w:val="0"/>
          <w:sz w:val="32"/>
          <w:szCs w:val="32"/>
          <w:highlight w:val="none"/>
          <w:lang w:val="en-US" w:eastAsia="zh-CN" w:bidi="ar"/>
        </w:rPr>
      </w:pPr>
      <w:r>
        <w:rPr>
          <w:rFonts w:hint="eastAsia" w:ascii="仿宋" w:hAnsi="仿宋" w:eastAsia="仿宋" w:cs="仿宋"/>
          <w:b w:val="0"/>
          <w:bCs w:val="0"/>
          <w:kern w:val="0"/>
          <w:sz w:val="32"/>
          <w:szCs w:val="32"/>
          <w:highlight w:val="none"/>
          <w:lang w:val="en-US" w:eastAsia="zh-CN" w:bidi="ar"/>
        </w:rPr>
        <w:t>（二）验收鉴定合格的项目可准予结项，颁发结项证书。对建议整改的项目可延期半年；对延期结项仍不合格的项目予以撤销，2年内不可申报同类性质的项目。研究工作及成果将记入教师个人档案，作为聘任与考核的重要依据。</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黑体" w:hAnsi="黑体" w:eastAsia="黑体" w:cs="黑体"/>
          <w:b w:val="0"/>
          <w:bCs w:val="0"/>
          <w:kern w:val="0"/>
          <w:sz w:val="32"/>
          <w:szCs w:val="32"/>
          <w:lang w:val="en-US" w:eastAsia="zh-CN" w:bidi="ar"/>
        </w:rPr>
      </w:pPr>
      <w:r>
        <w:rPr>
          <w:rFonts w:hint="eastAsia" w:ascii="黑体" w:hAnsi="黑体" w:eastAsia="黑体" w:cs="黑体"/>
          <w:b w:val="0"/>
          <w:bCs w:val="0"/>
          <w:kern w:val="0"/>
          <w:sz w:val="32"/>
          <w:szCs w:val="32"/>
          <w:lang w:val="en-US" w:eastAsia="zh-CN" w:bidi="ar"/>
        </w:rPr>
        <w:t>三、结题形式</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560" w:lineRule="exact"/>
        <w:ind w:right="0" w:rightChars="0" w:firstLine="640" w:firstLineChars="200"/>
        <w:jc w:val="left"/>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（一）结题验收采取会议集中鉴定的形式。会议由高等教育研究中心组织专家召开，具体时间和地点另行通知。</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Autospacing="0" w:afterAutospacing="0" w:line="560" w:lineRule="exact"/>
        <w:ind w:right="0" w:rightChars="0" w:firstLine="640" w:firstLineChars="200"/>
        <w:jc w:val="left"/>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（二）课题组主持人及成员需按时参加鉴定会，原则上由课题主持人进行答辩汇报，每人汇报时间5分钟，专家问答3分钟。</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黑体" w:hAnsi="黑体" w:eastAsia="黑体" w:cs="黑体"/>
          <w:b w:val="0"/>
          <w:bCs w:val="0"/>
          <w:kern w:val="0"/>
          <w:sz w:val="32"/>
          <w:szCs w:val="32"/>
          <w:lang w:val="en-US" w:eastAsia="zh-CN" w:bidi="ar"/>
        </w:rPr>
      </w:pPr>
      <w:r>
        <w:rPr>
          <w:rFonts w:hint="eastAsia" w:ascii="黑体" w:hAnsi="黑体" w:eastAsia="黑体" w:cs="黑体"/>
          <w:b w:val="0"/>
          <w:bCs w:val="0"/>
          <w:kern w:val="0"/>
          <w:sz w:val="32"/>
          <w:szCs w:val="32"/>
          <w:lang w:val="en-US" w:eastAsia="zh-CN" w:bidi="ar"/>
        </w:rPr>
        <w:t>四、结题材料</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kern w:val="0"/>
          <w:sz w:val="32"/>
          <w:szCs w:val="32"/>
          <w:lang w:val="en-US" w:eastAsia="zh-CN" w:bidi="ar"/>
        </w:rPr>
        <w:t>（一）纸质材料：</w:t>
      </w:r>
    </w:p>
    <w:p>
      <w:pPr>
        <w:keepNext w:val="0"/>
        <w:keepLines w:val="0"/>
        <w:pageBreakBefore w:val="0"/>
        <w:numPr>
          <w:ilvl w:val="0"/>
          <w:numId w:val="0"/>
        </w:numPr>
        <w:kinsoku/>
        <w:wordWrap/>
        <w:overflowPunct/>
        <w:topLinePunct w:val="0"/>
        <w:autoSpaceDE/>
        <w:autoSpaceDN/>
        <w:bidi w:val="0"/>
        <w:spacing w:line="560" w:lineRule="exact"/>
        <w:ind w:leftChars="0" w:firstLine="640" w:firstLineChars="200"/>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1.《长春建筑学院校级课题结题验收报告书》</w:t>
      </w:r>
    </w:p>
    <w:p>
      <w:pPr>
        <w:keepNext w:val="0"/>
        <w:keepLines w:val="0"/>
        <w:pageBreakBefore w:val="0"/>
        <w:numPr>
          <w:ilvl w:val="0"/>
          <w:numId w:val="0"/>
        </w:numPr>
        <w:kinsoku/>
        <w:wordWrap/>
        <w:overflowPunct/>
        <w:topLinePunct w:val="0"/>
        <w:autoSpaceDE/>
        <w:autoSpaceDN/>
        <w:bidi w:val="0"/>
        <w:spacing w:line="560" w:lineRule="exact"/>
        <w:ind w:leftChars="0" w:firstLine="640" w:firstLineChars="200"/>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2.《长春建筑学院校级课题结题研究报告》及查重报告。研究报告字数在7000及以上，复制比≤20%。主要包括：1）项目研究的总体目标与研究思路；2）研究任务的完成情况（主要研究内容、改革措施及具体实施情况等）；3）项目研究成果的特色及创新情况；4）项目研究的实践情况及效果分析；5）存在的主要问题及改进设想。</w:t>
      </w:r>
    </w:p>
    <w:p>
      <w:pPr>
        <w:keepNext w:val="0"/>
        <w:keepLines w:val="0"/>
        <w:pageBreakBefore w:val="0"/>
        <w:numPr>
          <w:ilvl w:val="0"/>
          <w:numId w:val="0"/>
        </w:numPr>
        <w:kinsoku/>
        <w:wordWrap/>
        <w:overflowPunct/>
        <w:topLinePunct w:val="0"/>
        <w:autoSpaceDE/>
        <w:autoSpaceDN/>
        <w:bidi w:val="0"/>
        <w:spacing w:line="560" w:lineRule="exact"/>
        <w:ind w:leftChars="0" w:firstLine="640" w:firstLineChars="200"/>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3.最终研究成果。按照申请</w:t>
      </w:r>
      <w:r>
        <w:rPr>
          <w:rFonts w:hint="eastAsia" w:ascii="仿宋" w:hAnsi="仿宋" w:eastAsia="仿宋" w:cs="仿宋"/>
          <w:b w:val="0"/>
          <w:bCs w:val="0"/>
          <w:kern w:val="0"/>
          <w:sz w:val="32"/>
          <w:szCs w:val="32"/>
          <w:highlight w:val="none"/>
          <w:lang w:val="en-US" w:eastAsia="zh-CN" w:bidi="ar"/>
        </w:rPr>
        <w:t>评审书</w:t>
      </w:r>
      <w:r>
        <w:rPr>
          <w:rFonts w:hint="eastAsia" w:ascii="仿宋" w:hAnsi="仿宋" w:eastAsia="仿宋" w:cs="仿宋"/>
          <w:b w:val="0"/>
          <w:bCs w:val="0"/>
          <w:kern w:val="0"/>
          <w:sz w:val="32"/>
          <w:szCs w:val="32"/>
          <w:lang w:val="en-US" w:eastAsia="zh-CN" w:bidi="ar"/>
        </w:rPr>
        <w:t>中预期研究成果准备。主要体现形式包括：调研报告、教材、课件、培养方案、教学文件、论文等，以及在人才培养过程中的实践效果分析等可考核的结果。论文形式的成果，须公开发表的确为该项目研究的实质性成果，如支撑项目实施的理论研究、项目改革实践的总结提升等。</w:t>
      </w:r>
    </w:p>
    <w:p>
      <w:pPr>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4.过程性资料（立项申请评审书、立项通知书、开题报告、中期检查、变更审批表等）。</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以上纸质材料中，</w:t>
      </w:r>
      <w:r>
        <w:rPr>
          <w:rFonts w:hint="eastAsia" w:ascii="仿宋" w:hAnsi="仿宋" w:eastAsia="仿宋" w:cs="仿宋"/>
          <w:b w:val="0"/>
          <w:bCs w:val="0"/>
          <w:kern w:val="0"/>
          <w:sz w:val="32"/>
          <w:szCs w:val="32"/>
          <w:highlight w:val="none"/>
          <w:lang w:val="en-US" w:eastAsia="zh-CN" w:bidi="ar"/>
        </w:rPr>
        <w:t>《长春建筑学院校级课题结题验收报告书》单</w:t>
      </w:r>
      <w:r>
        <w:rPr>
          <w:rFonts w:hint="eastAsia" w:ascii="仿宋" w:hAnsi="仿宋" w:eastAsia="仿宋" w:cs="仿宋"/>
          <w:b w:val="0"/>
          <w:bCs w:val="0"/>
          <w:kern w:val="0"/>
          <w:sz w:val="32"/>
          <w:szCs w:val="32"/>
          <w:lang w:val="en-US" w:eastAsia="zh-CN" w:bidi="ar"/>
        </w:rPr>
        <w:t>独装订5份；其他材料使用蓝色布纹纸进行胶装，一式5份（胶装封皮模板及顺序参见附件）。</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kern w:val="0"/>
          <w:sz w:val="32"/>
          <w:szCs w:val="32"/>
          <w:lang w:val="en-US" w:eastAsia="zh-CN" w:bidi="ar"/>
        </w:rPr>
        <w:t>（二）电子材料：</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1.所有纸质材料的电子版。</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2.结题答辩汇报PPT（按照5分钟准备）。</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3.长春建筑学院校级课题结题验收汇总表。</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以上纸质版材料请于2019年6月20日前报送至高等教育研究中心，电子材料请发至邮箱：</w:t>
      </w:r>
      <w:r>
        <w:rPr>
          <w:rFonts w:hint="eastAsia" w:ascii="仿宋" w:hAnsi="仿宋" w:eastAsia="仿宋" w:cs="仿宋"/>
          <w:b w:val="0"/>
          <w:bCs w:val="0"/>
          <w:kern w:val="0"/>
          <w:sz w:val="32"/>
          <w:szCs w:val="32"/>
          <w:lang w:val="en-US" w:eastAsia="zh-CN" w:bidi="ar"/>
        </w:rPr>
        <w:fldChar w:fldCharType="begin"/>
      </w:r>
      <w:r>
        <w:rPr>
          <w:rFonts w:hint="eastAsia" w:ascii="仿宋" w:hAnsi="仿宋" w:eastAsia="仿宋" w:cs="仿宋"/>
          <w:b w:val="0"/>
          <w:bCs w:val="0"/>
          <w:kern w:val="0"/>
          <w:sz w:val="32"/>
          <w:szCs w:val="32"/>
          <w:lang w:val="en-US" w:eastAsia="zh-CN" w:bidi="ar"/>
        </w:rPr>
        <w:instrText xml:space="preserve"> HYPERLINK "mailto:23512277@qq.com" </w:instrText>
      </w:r>
      <w:r>
        <w:rPr>
          <w:rFonts w:hint="eastAsia" w:ascii="仿宋" w:hAnsi="仿宋" w:eastAsia="仿宋" w:cs="仿宋"/>
          <w:b w:val="0"/>
          <w:bCs w:val="0"/>
          <w:kern w:val="0"/>
          <w:sz w:val="32"/>
          <w:szCs w:val="32"/>
          <w:lang w:val="en-US" w:eastAsia="zh-CN" w:bidi="ar"/>
        </w:rPr>
        <w:fldChar w:fldCharType="separate"/>
      </w:r>
      <w:r>
        <w:rPr>
          <w:rStyle w:val="6"/>
          <w:rFonts w:hint="eastAsia" w:ascii="仿宋" w:hAnsi="仿宋" w:eastAsia="仿宋" w:cs="仿宋"/>
          <w:b w:val="0"/>
          <w:bCs w:val="0"/>
          <w:color w:val="auto"/>
          <w:sz w:val="32"/>
          <w:szCs w:val="32"/>
          <w:u w:val="none"/>
          <w:lang w:val="en-US" w:eastAsia="zh-CN"/>
        </w:rPr>
        <w:t>549743727</w:t>
      </w:r>
      <w:r>
        <w:rPr>
          <w:rStyle w:val="6"/>
          <w:rFonts w:hint="eastAsia" w:ascii="仿宋" w:hAnsi="仿宋" w:eastAsia="仿宋" w:cs="仿宋"/>
          <w:b w:val="0"/>
          <w:bCs w:val="0"/>
          <w:color w:val="auto"/>
          <w:sz w:val="32"/>
          <w:szCs w:val="32"/>
          <w:u w:val="none"/>
          <w:lang w:val="en-US"/>
        </w:rPr>
        <w:t>@qq.com</w:t>
      </w:r>
      <w:r>
        <w:rPr>
          <w:rFonts w:hint="eastAsia" w:ascii="仿宋" w:hAnsi="仿宋" w:eastAsia="仿宋" w:cs="仿宋"/>
          <w:b w:val="0"/>
          <w:bCs w:val="0"/>
          <w:kern w:val="0"/>
          <w:sz w:val="32"/>
          <w:szCs w:val="32"/>
          <w:lang w:val="en-US" w:eastAsia="zh-CN" w:bidi="ar"/>
        </w:rPr>
        <w:fldChar w:fldCharType="end"/>
      </w:r>
      <w:r>
        <w:rPr>
          <w:rFonts w:hint="eastAsia" w:ascii="仿宋" w:hAnsi="仿宋" w:eastAsia="仿宋" w:cs="仿宋"/>
          <w:b w:val="0"/>
          <w:bCs w:val="0"/>
          <w:kern w:val="0"/>
          <w:sz w:val="32"/>
          <w:szCs w:val="32"/>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联系人：郑李梅</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default"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电话：89752071；13944850611</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default"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地址：行政楼三楼305室</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附件：关于开展长春建筑学院2019年上半年校级课题结题验收的通知及表格模板</w:t>
      </w:r>
      <w:bookmarkStart w:id="0" w:name="_GoBack"/>
      <w:bookmarkEnd w:id="0"/>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right="0" w:rightChars="0"/>
        <w:jc w:val="left"/>
        <w:textAlignment w:val="auto"/>
        <w:outlineLvl w:val="9"/>
        <w:rPr>
          <w:rFonts w:hint="eastAsia" w:ascii="仿宋" w:hAnsi="仿宋" w:eastAsia="仿宋" w:cs="仿宋"/>
          <w:b w:val="0"/>
          <w:bCs w:val="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right="0" w:rightChars="0"/>
        <w:jc w:val="left"/>
        <w:textAlignment w:val="auto"/>
        <w:outlineLvl w:val="9"/>
        <w:rPr>
          <w:rFonts w:hint="eastAsia" w:ascii="仿宋" w:hAnsi="仿宋" w:eastAsia="仿宋" w:cs="仿宋"/>
          <w:b w:val="0"/>
          <w:bCs w:val="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right="0" w:rightChars="0"/>
        <w:jc w:val="left"/>
        <w:textAlignment w:val="auto"/>
        <w:outlineLvl w:val="9"/>
        <w:rPr>
          <w:rFonts w:hint="eastAsia" w:ascii="仿宋" w:hAnsi="仿宋" w:eastAsia="仿宋" w:cs="仿宋"/>
          <w:b w:val="0"/>
          <w:bCs w:val="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right="0" w:rightChars="0"/>
        <w:jc w:val="left"/>
        <w:textAlignment w:val="auto"/>
        <w:outlineLvl w:val="9"/>
        <w:rPr>
          <w:rFonts w:hint="eastAsia" w:ascii="仿宋" w:hAnsi="仿宋" w:eastAsia="仿宋" w:cs="仿宋"/>
          <w:b w:val="0"/>
          <w:bCs w:val="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right="0" w:rightChars="0"/>
        <w:jc w:val="left"/>
        <w:textAlignment w:val="auto"/>
        <w:outlineLvl w:val="9"/>
        <w:rPr>
          <w:rFonts w:hint="eastAsia" w:ascii="仿宋" w:hAnsi="仿宋" w:eastAsia="仿宋" w:cs="仿宋"/>
          <w:b w:val="0"/>
          <w:bCs w:val="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right="0" w:rightChars="0"/>
        <w:jc w:val="left"/>
        <w:textAlignment w:val="auto"/>
        <w:outlineLvl w:val="9"/>
        <w:rPr>
          <w:rFonts w:hint="eastAsia" w:ascii="仿宋" w:hAnsi="仿宋" w:eastAsia="仿宋" w:cs="仿宋"/>
          <w:b w:val="0"/>
          <w:bCs w:val="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right"/>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高等教育研究中心</w:t>
      </w:r>
    </w:p>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right"/>
        <w:textAlignment w:val="auto"/>
        <w:outlineLvl w:val="9"/>
        <w:rPr>
          <w:rFonts w:hint="eastAsia" w:ascii="仿宋" w:hAnsi="仿宋" w:eastAsia="仿宋" w:cs="仿宋"/>
          <w:b w:val="0"/>
          <w:bCs w:val="0"/>
          <w:kern w:val="0"/>
          <w:sz w:val="32"/>
          <w:szCs w:val="32"/>
          <w:lang w:val="en-US" w:eastAsia="zh-CN" w:bidi="ar"/>
        </w:rPr>
      </w:pPr>
      <w:r>
        <w:rPr>
          <w:rFonts w:hint="eastAsia" w:ascii="仿宋" w:hAnsi="仿宋" w:eastAsia="仿宋" w:cs="仿宋"/>
          <w:b w:val="0"/>
          <w:bCs w:val="0"/>
          <w:kern w:val="0"/>
          <w:sz w:val="32"/>
          <w:szCs w:val="32"/>
          <w:lang w:val="en-US" w:eastAsia="zh-CN" w:bidi="ar"/>
        </w:rPr>
        <w:t>2019年6月3日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D4EFB"/>
    <w:rsid w:val="030811CA"/>
    <w:rsid w:val="03924B48"/>
    <w:rsid w:val="03EB7D94"/>
    <w:rsid w:val="05F4773A"/>
    <w:rsid w:val="07773B33"/>
    <w:rsid w:val="079A3B36"/>
    <w:rsid w:val="08E716E8"/>
    <w:rsid w:val="0AF91304"/>
    <w:rsid w:val="0BB15B92"/>
    <w:rsid w:val="0F3C654C"/>
    <w:rsid w:val="0F697760"/>
    <w:rsid w:val="0FF634DA"/>
    <w:rsid w:val="13AF5E6B"/>
    <w:rsid w:val="16A0512F"/>
    <w:rsid w:val="170810DE"/>
    <w:rsid w:val="19E93405"/>
    <w:rsid w:val="1B3B3B94"/>
    <w:rsid w:val="1B6E4F91"/>
    <w:rsid w:val="1C8C7C72"/>
    <w:rsid w:val="1FF34E6A"/>
    <w:rsid w:val="20640937"/>
    <w:rsid w:val="230B5EFA"/>
    <w:rsid w:val="26B80890"/>
    <w:rsid w:val="281314B2"/>
    <w:rsid w:val="29B63B15"/>
    <w:rsid w:val="2A572009"/>
    <w:rsid w:val="2BC171EF"/>
    <w:rsid w:val="2D576DDE"/>
    <w:rsid w:val="2F9E43CA"/>
    <w:rsid w:val="31BF7A41"/>
    <w:rsid w:val="32CA37C8"/>
    <w:rsid w:val="3318055C"/>
    <w:rsid w:val="35C955AD"/>
    <w:rsid w:val="365E297A"/>
    <w:rsid w:val="37EC23E7"/>
    <w:rsid w:val="3F525CB6"/>
    <w:rsid w:val="4063014E"/>
    <w:rsid w:val="41D65760"/>
    <w:rsid w:val="446B08DB"/>
    <w:rsid w:val="44783622"/>
    <w:rsid w:val="46281A91"/>
    <w:rsid w:val="477515D1"/>
    <w:rsid w:val="48C75434"/>
    <w:rsid w:val="4B625FB5"/>
    <w:rsid w:val="4C0B4835"/>
    <w:rsid w:val="4D6967F5"/>
    <w:rsid w:val="4DA93235"/>
    <w:rsid w:val="4E156083"/>
    <w:rsid w:val="4E383C5F"/>
    <w:rsid w:val="4F417160"/>
    <w:rsid w:val="516F3EA5"/>
    <w:rsid w:val="520C35FA"/>
    <w:rsid w:val="52F26CE4"/>
    <w:rsid w:val="5482016F"/>
    <w:rsid w:val="55BE133F"/>
    <w:rsid w:val="56330EF7"/>
    <w:rsid w:val="5A884479"/>
    <w:rsid w:val="5C3C0C90"/>
    <w:rsid w:val="5DED302C"/>
    <w:rsid w:val="5E307EF6"/>
    <w:rsid w:val="5F512E18"/>
    <w:rsid w:val="610D3C12"/>
    <w:rsid w:val="627A3678"/>
    <w:rsid w:val="63B17AA9"/>
    <w:rsid w:val="63CE5A1D"/>
    <w:rsid w:val="662E49AF"/>
    <w:rsid w:val="664D3C62"/>
    <w:rsid w:val="66CF0A08"/>
    <w:rsid w:val="68FB3C8C"/>
    <w:rsid w:val="699C64B9"/>
    <w:rsid w:val="6A100545"/>
    <w:rsid w:val="6D7B21A4"/>
    <w:rsid w:val="6F014E06"/>
    <w:rsid w:val="72417AD6"/>
    <w:rsid w:val="76087241"/>
    <w:rsid w:val="76C70DBF"/>
    <w:rsid w:val="76D01F03"/>
    <w:rsid w:val="78E54925"/>
    <w:rsid w:val="7B05206F"/>
    <w:rsid w:val="7B380A78"/>
    <w:rsid w:val="7D2E2C79"/>
    <w:rsid w:val="7D732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48</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2018-10-24T01:36:00Z</cp:lastPrinted>
  <dcterms:modified xsi:type="dcterms:W3CDTF">2019-06-03T02:36:24Z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